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79A24" w14:textId="77777777" w:rsidR="00A6433A" w:rsidRDefault="00A6433A" w:rsidP="00A6433A">
      <w:pPr>
        <w:spacing w:line="480" w:lineRule="auto"/>
        <w:jc w:val="center"/>
        <w:rPr>
          <w:rFonts w:ascii="Times New Roman" w:hAnsi="Times New Roman" w:cs="Times New Roman"/>
          <w:sz w:val="24"/>
          <w:szCs w:val="24"/>
        </w:rPr>
      </w:pPr>
    </w:p>
    <w:p w14:paraId="3BC08BAB" w14:textId="77777777" w:rsidR="00A6433A" w:rsidRDefault="00A6433A" w:rsidP="00A6433A">
      <w:pPr>
        <w:spacing w:line="480" w:lineRule="auto"/>
        <w:jc w:val="center"/>
        <w:rPr>
          <w:rFonts w:ascii="Times New Roman" w:hAnsi="Times New Roman" w:cs="Times New Roman"/>
          <w:sz w:val="24"/>
          <w:szCs w:val="24"/>
        </w:rPr>
      </w:pPr>
    </w:p>
    <w:p w14:paraId="70CEAAFD" w14:textId="0D01EEF4" w:rsidR="00A6433A" w:rsidRDefault="00A6433A" w:rsidP="00A6433A">
      <w:pPr>
        <w:spacing w:line="480" w:lineRule="auto"/>
        <w:jc w:val="center"/>
        <w:rPr>
          <w:rFonts w:ascii="Times New Roman" w:hAnsi="Times New Roman" w:cs="Times New Roman"/>
          <w:sz w:val="24"/>
          <w:szCs w:val="24"/>
        </w:rPr>
      </w:pPr>
    </w:p>
    <w:p w14:paraId="1E38C881" w14:textId="0370C9BE" w:rsidR="00A6433A" w:rsidRDefault="00A6433A" w:rsidP="00A6433A">
      <w:pPr>
        <w:spacing w:line="480" w:lineRule="auto"/>
        <w:jc w:val="center"/>
        <w:rPr>
          <w:rFonts w:ascii="Times New Roman" w:hAnsi="Times New Roman" w:cs="Times New Roman"/>
          <w:sz w:val="24"/>
          <w:szCs w:val="24"/>
        </w:rPr>
      </w:pPr>
    </w:p>
    <w:p w14:paraId="18F83F70" w14:textId="77777777" w:rsidR="00A6433A" w:rsidRDefault="00A6433A" w:rsidP="00A6433A">
      <w:pPr>
        <w:spacing w:line="480" w:lineRule="auto"/>
        <w:jc w:val="center"/>
        <w:rPr>
          <w:rFonts w:ascii="Times New Roman" w:hAnsi="Times New Roman" w:cs="Times New Roman"/>
          <w:sz w:val="24"/>
          <w:szCs w:val="24"/>
        </w:rPr>
      </w:pPr>
    </w:p>
    <w:p w14:paraId="0976579B" w14:textId="64BAE421"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sz w:val="24"/>
          <w:szCs w:val="24"/>
        </w:rPr>
        <w:t>Aligning Performance Appraisals and Compensation Plans</w:t>
      </w:r>
    </w:p>
    <w:p w14:paraId="1C0B79E0" w14:textId="77777777"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sz w:val="24"/>
          <w:szCs w:val="24"/>
        </w:rPr>
        <w:t>Student’s Name</w:t>
      </w:r>
    </w:p>
    <w:p w14:paraId="7F4F526C" w14:textId="77777777"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sz w:val="24"/>
          <w:szCs w:val="24"/>
        </w:rPr>
        <w:t>Institutional Affiliations</w:t>
      </w:r>
    </w:p>
    <w:p w14:paraId="6BA478D0" w14:textId="77777777" w:rsidR="00A6433A" w:rsidRDefault="00A6433A" w:rsidP="00A6433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1A0773" w14:textId="3AE7DA0A"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sz w:val="24"/>
          <w:szCs w:val="24"/>
        </w:rPr>
        <w:lastRenderedPageBreak/>
        <w:t>Aligning Performance Appraisals and Compensation Plans</w:t>
      </w:r>
    </w:p>
    <w:p w14:paraId="7E9C9752" w14:textId="77777777" w:rsidR="006D5BBB" w:rsidRPr="006D5BBB" w:rsidRDefault="006D5BBB" w:rsidP="00A6433A">
      <w:pPr>
        <w:spacing w:line="480" w:lineRule="auto"/>
        <w:jc w:val="center"/>
        <w:rPr>
          <w:rFonts w:ascii="Times New Roman" w:hAnsi="Times New Roman" w:cs="Times New Roman"/>
          <w:b/>
          <w:bCs/>
          <w:sz w:val="24"/>
          <w:szCs w:val="24"/>
        </w:rPr>
      </w:pPr>
      <w:r w:rsidRPr="006D5BBB">
        <w:rPr>
          <w:rFonts w:ascii="Times New Roman" w:hAnsi="Times New Roman" w:cs="Times New Roman"/>
          <w:b/>
          <w:bCs/>
          <w:sz w:val="24"/>
          <w:szCs w:val="24"/>
        </w:rPr>
        <w:t>Introduction</w:t>
      </w:r>
    </w:p>
    <w:p w14:paraId="58662F1B" w14:textId="5FDBCD16" w:rsidR="006D5BBB" w:rsidRP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 xml:space="preserve">Evaluation of employee performance and consequently awarding him based on the results is conceptually what this paper discusses.  Companies use varying methods to conduct employee appraisals. Some of the methods have worked depending on their measurability of the company’s needs. This paper discusses employee performance method of Management by Objectives, MBO. Its impacts to the organization’s stakeholders as well as how </w:t>
      </w:r>
      <w:r w:rsidR="003C7830">
        <w:rPr>
          <w:rFonts w:ascii="Times New Roman" w:hAnsi="Times New Roman" w:cs="Times New Roman"/>
          <w:sz w:val="24"/>
          <w:szCs w:val="24"/>
        </w:rPr>
        <w:t>the performance appraisal method</w:t>
      </w:r>
      <w:r w:rsidRPr="006D5BBB">
        <w:rPr>
          <w:rFonts w:ascii="Times New Roman" w:hAnsi="Times New Roman" w:cs="Times New Roman"/>
          <w:sz w:val="24"/>
          <w:szCs w:val="24"/>
        </w:rPr>
        <w:t xml:space="preserve"> determines the correct compensation criteria are also discussed. Its relevance to the ethical and legal concerns of the company in relation to employees’ compensations is also discussed. With merited performance appraisal, a company’s staff are motivated and ethically inclined towards the growth of the company.</w:t>
      </w:r>
    </w:p>
    <w:p w14:paraId="632A04A2" w14:textId="77777777" w:rsidR="006D5BBB" w:rsidRPr="006D5BBB" w:rsidRDefault="006D5BBB" w:rsidP="00A6433A">
      <w:pPr>
        <w:spacing w:line="480" w:lineRule="auto"/>
        <w:jc w:val="center"/>
        <w:rPr>
          <w:rFonts w:ascii="Times New Roman" w:hAnsi="Times New Roman" w:cs="Times New Roman"/>
          <w:b/>
          <w:bCs/>
          <w:sz w:val="24"/>
          <w:szCs w:val="24"/>
        </w:rPr>
      </w:pPr>
      <w:r w:rsidRPr="006D5BBB">
        <w:rPr>
          <w:rFonts w:ascii="Times New Roman" w:hAnsi="Times New Roman" w:cs="Times New Roman"/>
          <w:b/>
          <w:bCs/>
          <w:sz w:val="24"/>
          <w:szCs w:val="24"/>
        </w:rPr>
        <w:t>Management by Objectives (MBO) Method of Employee Appraisal and How it Impacts Employee Compensation</w:t>
      </w:r>
    </w:p>
    <w:p w14:paraId="7E0A3B13"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 xml:space="preserve">MBO involves conducting employee evaluations using set organizational objectives. It is from the set objectives that the results are derived to help analyze different aspects that affect the performance of the company’s workforce (DeNisi &amp; Murphy, 2017). The results help manage the entire functionality of the organization. It is an appraisal method that takes the organization’s vision, values, strategies, goals, and performance measurement into consideration as discussed by Idowu (2017). This method is different from other methods as it takes effect on the company from the top management position as it transcends downwards to the junior employees. Scholars and business experts have given accolade to the method because of its inclusivity of the entire company in decision making. Decisions based on organizational goals and objectives that MBO </w:t>
      </w:r>
      <w:r w:rsidRPr="006D5BBB">
        <w:rPr>
          <w:rFonts w:ascii="Times New Roman" w:hAnsi="Times New Roman" w:cs="Times New Roman"/>
          <w:sz w:val="24"/>
          <w:szCs w:val="24"/>
        </w:rPr>
        <w:lastRenderedPageBreak/>
        <w:t>uses are frequently formulated by every stakeholder in the organization. With the team leaders and managements spearheading training and orientation programs on company’s strategies, MBO helps the employees in adjusting to change initiatives and market requirement. The approach to decisions in this case allows more transparent evaluations and corresponding compensation of employees.</w:t>
      </w:r>
    </w:p>
    <w:p w14:paraId="7D823EC1"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Using MBO to conduct employee compensation is the fairest method for it is transparent. It is less involved in unethical concerns as the managers initially offer training to all the employees before evaluating their results. This method therefore considers merit evaluation in awarding deserving employees and issuing warnings to those who are not living to the company’s expectations. Compensation perks such as bonuses, high salary rates, extra benefits, and allowances are dependent on performance appraisal conducted through Management by Objectives (DeNisi &amp; Murphy, 2017).  It is very clear in its application and implementation. It simply translates that failure to attain target results leads to low or no bonuses, no salary raise and no allowances. It is a flawless evaluation on the basis of individual performance and attainment of goals to necessitate individual’s compensation.</w:t>
      </w:r>
    </w:p>
    <w:p w14:paraId="58C4E749" w14:textId="52D982F8" w:rsidR="006D5BBB" w:rsidRP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Management by Objectives, MBO, encourages managers especially the human resource and finance heads to do detailed planning rolling out the evaluations and compensations. The managers become well aware of the dire expectations that come with their positions in compensating the workers. Early and timely preparations are supposed to be done in order to allow efficient running or evaluation process in the company. In the same way, the managers are able to establish measurable goals and standards of performance appraisals with respect to this compensation schemes.  According to Ferrell (2016) Management by Objectives also allows justified compensations bearing its sound organizational and psychological values.</w:t>
      </w:r>
    </w:p>
    <w:p w14:paraId="14E9B343" w14:textId="77777777" w:rsidR="006D5BBB" w:rsidRPr="006D5BBB" w:rsidRDefault="006D5BBB" w:rsidP="00A6433A">
      <w:pPr>
        <w:spacing w:line="480" w:lineRule="auto"/>
        <w:jc w:val="center"/>
        <w:rPr>
          <w:rFonts w:ascii="Times New Roman" w:hAnsi="Times New Roman" w:cs="Times New Roman"/>
          <w:b/>
          <w:bCs/>
          <w:sz w:val="24"/>
          <w:szCs w:val="24"/>
        </w:rPr>
      </w:pPr>
      <w:r w:rsidRPr="006D5BBB">
        <w:rPr>
          <w:rFonts w:ascii="Times New Roman" w:hAnsi="Times New Roman" w:cs="Times New Roman"/>
          <w:b/>
          <w:bCs/>
          <w:sz w:val="24"/>
          <w:szCs w:val="24"/>
        </w:rPr>
        <w:lastRenderedPageBreak/>
        <w:t>Impact of the Performance Evaluation Method on Organizational Stakeholders</w:t>
      </w:r>
    </w:p>
    <w:p w14:paraId="6E627B5E"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Like performance appraisals, performance evaluation is described as a formal and creative process to quantify an employee’s work results founded on their job roles (Conner, 2017). It is used to determine the value of each employee in a firm. Using MBO as performance evaluation impacts positively on employees who are the basic stakeholders.  The approach has inclusivity on organizations goal and objective formulation. The composition of Management by Objectives Outline that the individual employees are trained on new organization’s strategies, policy adaptations then together they strive towards formulation of a common objective. This method has positively impacted employees as most of them feel the sense of belonging in the company. They feel part of the decision making. MBO as method of performance evaluation highlights areas of the organization where employees may require training. Training as discussed by Zeng (2016) leads to career development.</w:t>
      </w:r>
    </w:p>
    <w:p w14:paraId="31903D86"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Organization’s management as the second stakeholder to be impacted by MBO evaluation is equipped with strategic planning which establishes measurable targets and standards of evaluating the employees.  Without the managers it becomes impossible to make certain the sustainability of the evaluation method (DeNisi &amp; Murphy, 2017). It therefore requires company leadership to furnish its powerhouse with resources that will enable constant MBO performance evaluation method to sail through. Conversely, because of the nature of tasks that come with this method of evaluation, there is substantially ample paperwork intricate that may prove an uphill task to majority managers. This method in summary imparts on the manager’s responsibilities as illustrated by Conner (2017). It involves numerous meetings and additional reports to analyze. In summary, it positions the organization that uses it set industry standards and overall employee return on investment (Conner, 2017).</w:t>
      </w:r>
    </w:p>
    <w:p w14:paraId="42E8E0B8" w14:textId="1B8DFF84" w:rsidR="006D5BBB" w:rsidRP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lastRenderedPageBreak/>
        <w:t>Customers are organizations most valuable stakeholders. Their feedback on the company’s products and service delivery determines the objectives and goals that are set within the emblems of Management by Objectives, MBO. In a nutshell, the use of Management by Objective impacts the customers on a wider scale. As MBO improves the productivity of the company bearing improved communications, the customers get to bear the outputs in consumption of either products or services that are rendered by the company’s employees (DeNisi &amp; Murphy, 2017). This also implicates the needs for managers to give feedback to their team members. Using this feedback, employees can advance their effort and bridge areas that have been acknowledged by their customers.</w:t>
      </w:r>
    </w:p>
    <w:p w14:paraId="7B01D479" w14:textId="35A8D935"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b/>
          <w:bCs/>
          <w:sz w:val="24"/>
          <w:szCs w:val="24"/>
        </w:rPr>
        <w:t>Methods of Preventing Ethical and Legal Challenges Arising from Performance Appraisal Method (MBO</w:t>
      </w:r>
      <w:r w:rsidR="003C7830">
        <w:rPr>
          <w:rFonts w:ascii="Times New Roman" w:hAnsi="Times New Roman" w:cs="Times New Roman"/>
          <w:b/>
          <w:bCs/>
          <w:sz w:val="24"/>
          <w:szCs w:val="24"/>
        </w:rPr>
        <w:t xml:space="preserve">) </w:t>
      </w:r>
      <w:r w:rsidRPr="006D5BBB">
        <w:rPr>
          <w:rFonts w:ascii="Times New Roman" w:hAnsi="Times New Roman" w:cs="Times New Roman"/>
          <w:b/>
          <w:bCs/>
          <w:sz w:val="24"/>
          <w:szCs w:val="24"/>
        </w:rPr>
        <w:t>and Compensation</w:t>
      </w:r>
    </w:p>
    <w:p w14:paraId="26B88AA3"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In order for organizations to prevent ethical and likely legal challenges that result from using MBO as compensation method to employees, it is significant for the management to keep all the evaluation records and pay slips and also exhibit the company’s written standards of ethical workplace codes of conduct. As analyzed by Smith, Rohr &amp; Panton (2018), this prepares organizations in defense just in case it proves necessary. It is so evident that continued employee evaluations involve tedious paper work. The organization can device effective methods of conducting employee evaluation such as using online surveys and data-base file storage instead of accruing enormous papers in documentation.</w:t>
      </w:r>
    </w:p>
    <w:p w14:paraId="441CC54C"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 xml:space="preserve">Training staff on required standards equips them with competent and ethical skills that cover reasons for using MBO as a benchmark for their compensation. Being a self-assessment method of evaluating performance, training staff on its implications provides them with cognitive abilities to realize why or why not to proceed with legal charges against the company. </w:t>
      </w:r>
      <w:r w:rsidRPr="006D5BBB">
        <w:rPr>
          <w:rFonts w:ascii="Times New Roman" w:hAnsi="Times New Roman" w:cs="Times New Roman"/>
          <w:sz w:val="24"/>
          <w:szCs w:val="24"/>
        </w:rPr>
        <w:lastRenderedPageBreak/>
        <w:t>Training builds a culture of integrity among the employees and the rest of the organization. Training the workforce also broadens the way that staff relates with clients at the workstation and in the society. And it instills among the stakeholders the techniques and consequences of unauthorized ethical issues.</w:t>
      </w:r>
    </w:p>
    <w:p w14:paraId="4DFBFF51" w14:textId="77777777" w:rsid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Organizations should have systems that discipline violators. Most organizations have these disciplinary departments within their structure. They serve as the conflict resolution and maintenance dockets of the organizations (Hagan &amp; Daigle, 2018). The missing link however is how rarely it is to hear a company suing an employee. It should be the case in extreme circumstances just as much as compensation by an organization is mandatory.  Organizations should hence guarantee that after all internal attempts to address integrity violations the next option becomes disciplinary such as suspension or absolute sacking.  Likewise, involving organizational employees with intentions of knowing their motives and aspirations at individual level can be a measure that prevents future legal actions or compensational ethical issues as illustrated by Root (2019).  In so doing the company becomes aware of who works for it. This reduces misunderstandings that often arise among organizations and its staff.</w:t>
      </w:r>
    </w:p>
    <w:p w14:paraId="296B24BA" w14:textId="415AA86C" w:rsidR="006D5BBB" w:rsidRP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 xml:space="preserve">Employers are also gratified to draft a Notice of Termination following subsequent unethical issues between members of the organization. It should however ensure that all the protocols are followed before consequently terminating staff’s services with company. This gives the organization an upper hand when the victim files a lawsuit (Root, 2019). Instant discharge is only possible in circumstances when an employee has committed theft offences, scam, and physical attack or when the individual has blatantly refused to carry out mandated obligations as illustrated by Root (2019). All in all, it should not get this far. Utilizing organizations internal </w:t>
      </w:r>
      <w:r w:rsidRPr="006D5BBB">
        <w:rPr>
          <w:rFonts w:ascii="Times New Roman" w:hAnsi="Times New Roman" w:cs="Times New Roman"/>
          <w:sz w:val="24"/>
          <w:szCs w:val="24"/>
        </w:rPr>
        <w:lastRenderedPageBreak/>
        <w:t>affairs in conjunction with the services of a legal expert can reverse reaching to courtrooms as illustrated by Hagan &amp; Daigle (2018).</w:t>
      </w:r>
    </w:p>
    <w:p w14:paraId="0E6CC5B2" w14:textId="77777777" w:rsidR="006D5BBB" w:rsidRPr="006D5BBB" w:rsidRDefault="006D5BBB" w:rsidP="00A6433A">
      <w:pPr>
        <w:spacing w:line="480" w:lineRule="auto"/>
        <w:jc w:val="center"/>
        <w:rPr>
          <w:rFonts w:ascii="Times New Roman" w:hAnsi="Times New Roman" w:cs="Times New Roman"/>
          <w:b/>
          <w:bCs/>
          <w:sz w:val="24"/>
          <w:szCs w:val="24"/>
        </w:rPr>
      </w:pPr>
      <w:r w:rsidRPr="006D5BBB">
        <w:rPr>
          <w:rFonts w:ascii="Times New Roman" w:hAnsi="Times New Roman" w:cs="Times New Roman"/>
          <w:b/>
          <w:bCs/>
          <w:sz w:val="24"/>
          <w:szCs w:val="24"/>
        </w:rPr>
        <w:t>Conclusion</w:t>
      </w:r>
    </w:p>
    <w:p w14:paraId="7DE8F422" w14:textId="77777777" w:rsidR="006D5BBB" w:rsidRPr="006D5BBB" w:rsidRDefault="006D5BBB" w:rsidP="00A6433A">
      <w:pPr>
        <w:spacing w:line="480" w:lineRule="auto"/>
        <w:ind w:firstLine="720"/>
        <w:rPr>
          <w:rFonts w:ascii="Times New Roman" w:hAnsi="Times New Roman" w:cs="Times New Roman"/>
          <w:sz w:val="24"/>
          <w:szCs w:val="24"/>
        </w:rPr>
      </w:pPr>
      <w:r w:rsidRPr="006D5BBB">
        <w:rPr>
          <w:rFonts w:ascii="Times New Roman" w:hAnsi="Times New Roman" w:cs="Times New Roman"/>
          <w:sz w:val="24"/>
          <w:szCs w:val="24"/>
        </w:rPr>
        <w:t>Merited compensation is a right to all organization’s staff in a workplace where performance appraisals are issued out. The methods that determine the right criteria for compensation should transparently outline its structure to the staff it is likely to affect. Performance Appraisal helps in drawing out reward packages for employees. Management by Objective has been found in this paper to comprise merit rating in performance appraisal. As it determines the prospective individual’s compensation, it also recognizes and instills integrity among stakeholders it involves as also discussed in this paper.</w:t>
      </w:r>
    </w:p>
    <w:p w14:paraId="1AF15962" w14:textId="77777777" w:rsidR="006D5BBB" w:rsidRDefault="006D5BBB" w:rsidP="00A6433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EABE93" w14:textId="4152A784" w:rsidR="006D5BBB" w:rsidRPr="006D5BBB" w:rsidRDefault="006D5BBB" w:rsidP="00A6433A">
      <w:pPr>
        <w:spacing w:line="480" w:lineRule="auto"/>
        <w:jc w:val="center"/>
        <w:rPr>
          <w:rFonts w:ascii="Times New Roman" w:hAnsi="Times New Roman" w:cs="Times New Roman"/>
          <w:sz w:val="24"/>
          <w:szCs w:val="24"/>
        </w:rPr>
      </w:pPr>
      <w:r w:rsidRPr="006D5BBB">
        <w:rPr>
          <w:rFonts w:ascii="Times New Roman" w:hAnsi="Times New Roman" w:cs="Times New Roman"/>
          <w:sz w:val="24"/>
          <w:szCs w:val="24"/>
        </w:rPr>
        <w:lastRenderedPageBreak/>
        <w:t>References</w:t>
      </w:r>
    </w:p>
    <w:p w14:paraId="4929F508"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Conner, T. W. (2017). Exploring the Diverse Effects of Stakeholder Engagement on Organizational Performance. </w:t>
      </w:r>
      <w:r w:rsidRPr="006D5BBB">
        <w:rPr>
          <w:rFonts w:ascii="Times New Roman" w:hAnsi="Times New Roman" w:cs="Times New Roman"/>
          <w:i/>
          <w:sz w:val="24"/>
          <w:szCs w:val="24"/>
        </w:rPr>
        <w:t>The American Review of Public Administration</w:t>
      </w:r>
      <w:r w:rsidRPr="006D5BBB">
        <w:rPr>
          <w:rFonts w:ascii="Times New Roman" w:hAnsi="Times New Roman" w:cs="Times New Roman"/>
          <w:sz w:val="24"/>
          <w:szCs w:val="24"/>
        </w:rPr>
        <w:t>, 47(6), 634-647.</w:t>
      </w:r>
    </w:p>
    <w:p w14:paraId="69AA07D3"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DeNisi, A. S., &amp; Murphy, K. R. (2017). Performance Appraisal and Performance Management: 100 Years of Progress. </w:t>
      </w:r>
      <w:r w:rsidRPr="006D5BBB">
        <w:rPr>
          <w:rFonts w:ascii="Times New Roman" w:hAnsi="Times New Roman" w:cs="Times New Roman"/>
          <w:i/>
          <w:sz w:val="24"/>
          <w:szCs w:val="24"/>
        </w:rPr>
        <w:t>Journal of Applied Psychology</w:t>
      </w:r>
      <w:r w:rsidRPr="006D5BBB">
        <w:rPr>
          <w:rFonts w:ascii="Times New Roman" w:hAnsi="Times New Roman" w:cs="Times New Roman"/>
          <w:sz w:val="24"/>
          <w:szCs w:val="24"/>
        </w:rPr>
        <w:t>, 102(3), 421.</w:t>
      </w:r>
    </w:p>
    <w:p w14:paraId="3AFB1447" w14:textId="77777777" w:rsidR="006D5BBB" w:rsidRPr="006D5BBB" w:rsidRDefault="006D5BBB" w:rsidP="00A6433A">
      <w:pPr>
        <w:spacing w:line="480" w:lineRule="auto"/>
        <w:ind w:left="720" w:hanging="720"/>
        <w:rPr>
          <w:rFonts w:ascii="Times New Roman" w:hAnsi="Times New Roman" w:cs="Times New Roman"/>
          <w:i/>
          <w:sz w:val="24"/>
          <w:szCs w:val="24"/>
        </w:rPr>
      </w:pPr>
      <w:r w:rsidRPr="006D5BBB">
        <w:rPr>
          <w:rFonts w:ascii="Times New Roman" w:hAnsi="Times New Roman" w:cs="Times New Roman"/>
          <w:sz w:val="24"/>
          <w:szCs w:val="24"/>
        </w:rPr>
        <w:t xml:space="preserve">Ferrell, O. C. (2016). A Framework for Understanding Organizational Ethics. In Business Ethics: New Challenges For Business Schools And Corporate Leaders (pp. 15-29). </w:t>
      </w:r>
      <w:r w:rsidRPr="006D5BBB">
        <w:rPr>
          <w:rFonts w:ascii="Times New Roman" w:hAnsi="Times New Roman" w:cs="Times New Roman"/>
          <w:i/>
          <w:sz w:val="24"/>
          <w:szCs w:val="24"/>
        </w:rPr>
        <w:t>Routledge.</w:t>
      </w:r>
    </w:p>
    <w:p w14:paraId="4D45AD7A"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Hagan, F. E., &amp; Daigle, L. E. (2018). </w:t>
      </w:r>
      <w:r w:rsidRPr="006D5BBB">
        <w:rPr>
          <w:rFonts w:ascii="Times New Roman" w:hAnsi="Times New Roman" w:cs="Times New Roman"/>
          <w:i/>
          <w:sz w:val="24"/>
          <w:szCs w:val="24"/>
        </w:rPr>
        <w:t>Introduction to Criminology: Theories, Methods, And Criminal Behavior</w:t>
      </w:r>
      <w:r w:rsidRPr="006D5BBB">
        <w:rPr>
          <w:rFonts w:ascii="Times New Roman" w:hAnsi="Times New Roman" w:cs="Times New Roman"/>
          <w:sz w:val="24"/>
          <w:szCs w:val="24"/>
        </w:rPr>
        <w:t>. Sage Publications.</w:t>
      </w:r>
    </w:p>
    <w:p w14:paraId="051CF851"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Idowu, A. (2017). Effectiveness of Performance Appraisal System and Its Effect on Employee Motivation. </w:t>
      </w:r>
      <w:r w:rsidRPr="006D5BBB">
        <w:rPr>
          <w:rFonts w:ascii="Times New Roman" w:hAnsi="Times New Roman" w:cs="Times New Roman"/>
          <w:i/>
          <w:sz w:val="24"/>
          <w:szCs w:val="24"/>
        </w:rPr>
        <w:t>Nile Journal of Business and Economics</w:t>
      </w:r>
      <w:r w:rsidRPr="006D5BBB">
        <w:rPr>
          <w:rFonts w:ascii="Times New Roman" w:hAnsi="Times New Roman" w:cs="Times New Roman"/>
          <w:sz w:val="24"/>
          <w:szCs w:val="24"/>
        </w:rPr>
        <w:t>, 3(5), 15-39.</w:t>
      </w:r>
    </w:p>
    <w:p w14:paraId="436EEA7B"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Root, V. (2019). The Compliance Process. </w:t>
      </w:r>
      <w:r w:rsidRPr="006D5BBB">
        <w:rPr>
          <w:rFonts w:ascii="Times New Roman" w:hAnsi="Times New Roman" w:cs="Times New Roman"/>
          <w:i/>
          <w:sz w:val="24"/>
          <w:szCs w:val="24"/>
        </w:rPr>
        <w:t>Ind. LJ</w:t>
      </w:r>
      <w:r w:rsidRPr="006D5BBB">
        <w:rPr>
          <w:rFonts w:ascii="Times New Roman" w:hAnsi="Times New Roman" w:cs="Times New Roman"/>
          <w:sz w:val="24"/>
          <w:szCs w:val="24"/>
        </w:rPr>
        <w:t>, 94, 203.</w:t>
      </w:r>
    </w:p>
    <w:p w14:paraId="11264D39"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 xml:space="preserve">Smith, S. S., Rohr, S. L., &amp; Panton, R. N. (2018). Human Resource Management and Ethical Challenges: Building a Culture for Organization Success. </w:t>
      </w:r>
      <w:r w:rsidRPr="006D5BBB">
        <w:rPr>
          <w:rFonts w:ascii="Times New Roman" w:hAnsi="Times New Roman" w:cs="Times New Roman"/>
          <w:i/>
          <w:sz w:val="24"/>
          <w:szCs w:val="24"/>
        </w:rPr>
        <w:t>International Journal of Public Leadership</w:t>
      </w:r>
      <w:r w:rsidRPr="006D5BBB">
        <w:rPr>
          <w:rFonts w:ascii="Times New Roman" w:hAnsi="Times New Roman" w:cs="Times New Roman"/>
          <w:sz w:val="24"/>
          <w:szCs w:val="24"/>
        </w:rPr>
        <w:t>.</w:t>
      </w:r>
    </w:p>
    <w:p w14:paraId="056D43B3" w14:textId="77777777" w:rsidR="006D5BBB" w:rsidRPr="006D5BBB" w:rsidRDefault="006D5BBB" w:rsidP="00A6433A">
      <w:pPr>
        <w:spacing w:line="480" w:lineRule="auto"/>
        <w:ind w:left="720" w:hanging="720"/>
        <w:rPr>
          <w:rFonts w:ascii="Times New Roman" w:hAnsi="Times New Roman" w:cs="Times New Roman"/>
          <w:sz w:val="24"/>
          <w:szCs w:val="24"/>
        </w:rPr>
      </w:pPr>
      <w:r w:rsidRPr="006D5BBB">
        <w:rPr>
          <w:rFonts w:ascii="Times New Roman" w:hAnsi="Times New Roman" w:cs="Times New Roman"/>
          <w:sz w:val="24"/>
          <w:szCs w:val="24"/>
        </w:rPr>
        <w:t>Zeng, M. (2016). What Alternative Performance Appraisal Methods Have Companies Used to Replace Forced Rankings?</w:t>
      </w:r>
    </w:p>
    <w:sectPr w:rsidR="006D5BBB" w:rsidRPr="006D5BBB" w:rsidSect="0063655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83139757"/>
      <w:docPartObj>
        <w:docPartGallery w:val="Page Numbers (Top of Page)"/>
        <w:docPartUnique/>
      </w:docPartObj>
    </w:sdtPr>
    <w:sdtEndPr>
      <w:rPr>
        <w:noProof/>
      </w:rPr>
    </w:sdtEndPr>
    <w:sdtContent>
      <w:p w14:paraId="11892943" w14:textId="77777777" w:rsidR="00583F9C" w:rsidRPr="0063655E" w:rsidRDefault="003C7830" w:rsidP="0063655E">
        <w:pPr>
          <w:pStyle w:val="Header"/>
          <w:jc w:val="right"/>
          <w:rPr>
            <w:rFonts w:ascii="Times New Roman" w:hAnsi="Times New Roman" w:cs="Times New Roman"/>
          </w:rPr>
        </w:pPr>
        <w:r w:rsidRPr="0063655E">
          <w:rPr>
            <w:rFonts w:ascii="Times New Roman" w:hAnsi="Times New Roman" w:cs="Times New Roman"/>
          </w:rPr>
          <w:t>ALIGNING PERFORMANCE APPRAISALS AND COMPENSATION PLANS</w:t>
        </w:r>
        <w:r>
          <w:rPr>
            <w:rFonts w:ascii="Times New Roman" w:hAnsi="Times New Roman" w:cs="Times New Roman"/>
          </w:rPr>
          <w:tab/>
        </w:r>
        <w:r w:rsidRPr="0063655E">
          <w:rPr>
            <w:rFonts w:ascii="Times New Roman" w:hAnsi="Times New Roman" w:cs="Times New Roman"/>
          </w:rPr>
          <w:fldChar w:fldCharType="begin"/>
        </w:r>
        <w:r w:rsidRPr="0063655E">
          <w:rPr>
            <w:rFonts w:ascii="Times New Roman" w:hAnsi="Times New Roman" w:cs="Times New Roman"/>
          </w:rPr>
          <w:instrText xml:space="preserve"> PAGE   \* MERGEFORMAT </w:instrText>
        </w:r>
        <w:r w:rsidRPr="0063655E">
          <w:rPr>
            <w:rFonts w:ascii="Times New Roman" w:hAnsi="Times New Roman" w:cs="Times New Roman"/>
          </w:rPr>
          <w:fldChar w:fldCharType="separate"/>
        </w:r>
        <w:r w:rsidRPr="0063655E">
          <w:rPr>
            <w:rFonts w:ascii="Times New Roman" w:hAnsi="Times New Roman" w:cs="Times New Roman"/>
            <w:noProof/>
          </w:rPr>
          <w:t>2</w:t>
        </w:r>
        <w:r w:rsidRPr="0063655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6899294"/>
      <w:docPartObj>
        <w:docPartGallery w:val="Page Numbers (Top of Page)"/>
        <w:docPartUnique/>
      </w:docPartObj>
    </w:sdtPr>
    <w:sdtEndPr>
      <w:rPr>
        <w:noProof/>
      </w:rPr>
    </w:sdtEndPr>
    <w:sdtContent>
      <w:p w14:paraId="709B674B" w14:textId="77777777" w:rsidR="0063655E" w:rsidRPr="0063655E" w:rsidRDefault="003C7830" w:rsidP="0063655E">
        <w:pPr>
          <w:pStyle w:val="Header"/>
          <w:jc w:val="right"/>
          <w:rPr>
            <w:rFonts w:ascii="Times New Roman" w:hAnsi="Times New Roman" w:cs="Times New Roman"/>
          </w:rPr>
        </w:pPr>
        <w:r>
          <w:rPr>
            <w:rFonts w:ascii="Times New Roman" w:hAnsi="Times New Roman" w:cs="Times New Roman"/>
          </w:rPr>
          <w:t xml:space="preserve">Running head: </w:t>
        </w:r>
        <w:r w:rsidRPr="0063655E">
          <w:rPr>
            <w:rFonts w:ascii="Times New Roman" w:hAnsi="Times New Roman" w:cs="Times New Roman"/>
          </w:rPr>
          <w:t>ALIGNING PERFORMANCE APPRAISALS AND COMPENSATION PLANS</w:t>
        </w:r>
        <w:r>
          <w:rPr>
            <w:rFonts w:ascii="Times New Roman" w:hAnsi="Times New Roman" w:cs="Times New Roman"/>
          </w:rPr>
          <w:tab/>
        </w:r>
        <w:r w:rsidRPr="0063655E">
          <w:rPr>
            <w:rFonts w:ascii="Times New Roman" w:hAnsi="Times New Roman" w:cs="Times New Roman"/>
          </w:rPr>
          <w:fldChar w:fldCharType="begin"/>
        </w:r>
        <w:r w:rsidRPr="0063655E">
          <w:rPr>
            <w:rFonts w:ascii="Times New Roman" w:hAnsi="Times New Roman" w:cs="Times New Roman"/>
          </w:rPr>
          <w:instrText xml:space="preserve"> PAGE   \* MERGEFORMAT </w:instrText>
        </w:r>
        <w:r w:rsidRPr="0063655E">
          <w:rPr>
            <w:rFonts w:ascii="Times New Roman" w:hAnsi="Times New Roman" w:cs="Times New Roman"/>
          </w:rPr>
          <w:fldChar w:fldCharType="separate"/>
        </w:r>
        <w:r w:rsidRPr="0063655E">
          <w:rPr>
            <w:rFonts w:ascii="Times New Roman" w:hAnsi="Times New Roman" w:cs="Times New Roman"/>
            <w:noProof/>
          </w:rPr>
          <w:t>2</w:t>
        </w:r>
        <w:r w:rsidRPr="0063655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BB"/>
    <w:rsid w:val="003C7830"/>
    <w:rsid w:val="006D493F"/>
    <w:rsid w:val="006D5BBB"/>
    <w:rsid w:val="00A6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D2271"/>
  <w15:chartTrackingRefBased/>
  <w15:docId w15:val="{A9425BC1-792D-45FC-9283-CA53E222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1748</Words>
  <Characters>9969</Characters>
  <Application>Microsoft Office Word</Application>
  <DocSecurity>0</DocSecurity>
  <Lines>83</Lines>
  <Paragraphs>23</Paragraphs>
  <ScaleCrop>false</ScaleCrop>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2020-07-23T17:53:00Z</dcterms:created>
  <dcterms:modified xsi:type="dcterms:W3CDTF">2020-07-23T17:59:00Z</dcterms:modified>
</cp:coreProperties>
</file>